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0308" w14:textId="2B99D340" w:rsidR="006F5E7A" w:rsidRDefault="006F5E7A" w:rsidP="006F5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B4048"/>
          <w:kern w:val="36"/>
          <w:sz w:val="28"/>
          <w:szCs w:val="28"/>
          <w:lang w:eastAsia="ru-RU"/>
        </w:rPr>
      </w:pPr>
      <w:bookmarkStart w:id="0" w:name="_GoBack"/>
      <w:bookmarkEnd w:id="0"/>
      <w:r w:rsidRPr="006F5E7A">
        <w:rPr>
          <w:rFonts w:ascii="Times New Roman" w:eastAsia="Times New Roman" w:hAnsi="Times New Roman" w:cs="Times New Roman"/>
          <w:b/>
          <w:bCs/>
          <w:color w:val="3B4048"/>
          <w:kern w:val="36"/>
          <w:sz w:val="28"/>
          <w:szCs w:val="28"/>
          <w:lang w:eastAsia="ru-RU"/>
        </w:rPr>
        <w:t xml:space="preserve">Лишился работы из-за Сталина: как наказывают </w:t>
      </w:r>
      <w:r>
        <w:rPr>
          <w:rFonts w:ascii="Times New Roman" w:eastAsia="Times New Roman" w:hAnsi="Times New Roman" w:cs="Times New Roman"/>
          <w:b/>
          <w:bCs/>
          <w:color w:val="3B4048"/>
          <w:kern w:val="36"/>
          <w:sz w:val="28"/>
          <w:szCs w:val="28"/>
          <w:lang w:eastAsia="ru-RU"/>
        </w:rPr>
        <w:t>АУ</w:t>
      </w:r>
    </w:p>
    <w:p w14:paraId="026B9594" w14:textId="20CC4B48" w:rsidR="006F5E7A" w:rsidRPr="006F5E7A" w:rsidRDefault="006F5E7A" w:rsidP="006F5E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56971"/>
          <w:lang w:val="en-US" w:eastAsia="ru-RU"/>
        </w:rPr>
      </w:pPr>
      <w:r w:rsidRPr="006F5E7A">
        <w:rPr>
          <w:rFonts w:ascii="Times New Roman" w:eastAsia="Times New Roman" w:hAnsi="Times New Roman" w:cs="Times New Roman"/>
          <w:caps/>
          <w:lang w:val="en-US" w:eastAsia="ru-RU"/>
        </w:rPr>
        <w:t xml:space="preserve">5 </w:t>
      </w:r>
      <w:r w:rsidRPr="006F5E7A">
        <w:rPr>
          <w:rFonts w:ascii="Times New Roman" w:eastAsia="Times New Roman" w:hAnsi="Times New Roman" w:cs="Times New Roman"/>
          <w:caps/>
          <w:lang w:eastAsia="ru-RU"/>
        </w:rPr>
        <w:t>ОКТЯБРЯ</w:t>
      </w:r>
      <w:r w:rsidRPr="006F5E7A">
        <w:rPr>
          <w:rFonts w:ascii="Times New Roman" w:eastAsia="Times New Roman" w:hAnsi="Times New Roman" w:cs="Times New Roman"/>
          <w:caps/>
          <w:lang w:val="en-US" w:eastAsia="ru-RU"/>
        </w:rPr>
        <w:t xml:space="preserve"> 2021, https://pravo.ru/story/234864/</w:t>
      </w:r>
    </w:p>
    <w:p w14:paraId="0096B142" w14:textId="3F1E2483" w:rsidR="006F5E7A" w:rsidRPr="006F5E7A" w:rsidRDefault="00AB1F39" w:rsidP="006F5E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56971"/>
          <w:lang w:eastAsia="ru-RU"/>
        </w:rPr>
      </w:pPr>
      <w:hyperlink r:id="rId5" w:history="1">
        <w:r w:rsidR="006F5E7A" w:rsidRPr="006F5E7A">
          <w:rPr>
            <w:rFonts w:ascii="Times New Roman" w:eastAsia="Times New Roman" w:hAnsi="Times New Roman" w:cs="Times New Roman"/>
            <w:b/>
            <w:bCs/>
            <w:color w:val="3B4048"/>
            <w:u w:val="single"/>
            <w:lang w:eastAsia="ru-RU"/>
          </w:rPr>
          <w:t>Екатерина Коробка</w:t>
        </w:r>
      </w:hyperlink>
    </w:p>
    <w:p w14:paraId="26256C75" w14:textId="02018275" w:rsidR="006F5E7A" w:rsidRPr="006F5E7A" w:rsidRDefault="006F5E7A" w:rsidP="006F5E7A">
      <w:pPr>
        <w:spacing w:after="0" w:line="240" w:lineRule="auto"/>
        <w:jc w:val="right"/>
        <w:rPr>
          <w:rFonts w:ascii="Roboto" w:eastAsia="Times New Roman" w:hAnsi="Roboto" w:cs="Times New Roman"/>
          <w:caps/>
          <w:color w:val="656971"/>
          <w:sz w:val="24"/>
          <w:szCs w:val="24"/>
          <w:lang w:eastAsia="ru-RU"/>
        </w:rPr>
      </w:pPr>
    </w:p>
    <w:p w14:paraId="04BE908F" w14:textId="77777777" w:rsidR="006F5E7A" w:rsidRPr="006F5E7A" w:rsidRDefault="006F5E7A" w:rsidP="006F5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Если арбитражный управляющий не выполняет свои обязанности, его могут оштрафовать, а за второе нарушение — на три года выгнать из профессии. Это два самых частых наказания. Предупреждение из КоАП используется гораздо реже. Иногда Росреестр получает «анонимки» на управляющих, а парочку из них подписали именами Сталина и Брежнева. На основании этих документов ведомство тоже может обратиться в суд. А кредиторы всегда рады взыскать свои убытки с управляющего. Каждый год суды удовлетворяют больше трети таких требований.</w:t>
      </w:r>
    </w:p>
    <w:p w14:paraId="19B13BA0" w14:textId="77777777" w:rsidR="00AF40E2" w:rsidRDefault="006F5E7A" w:rsidP="00AF4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Уголовную ответственность для арбитражных управляющих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 последний раз ужесточили в июле 2021-го.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Теперь незаконное удовлетворение требований одних кредиторов в ущерб другим на сумму </w:t>
      </w:r>
      <w:hyperlink r:id="rId6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больше 2,25 млн руб.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может закончиться четырьмя годами лишения свободы (</w:t>
      </w:r>
      <w:hyperlink r:id="rId7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ч. 2.1 ст. 195 УК</w:t>
        </w:r>
      </w:hyperlink>
      <w:r w:rsidR="00AF40E2">
        <w:rPr>
          <w:rFonts w:ascii="Times New Roman" w:eastAsia="Times New Roman" w:hAnsi="Times New Roman" w:cs="Times New Roman"/>
          <w:color w:val="07C3FF"/>
          <w:sz w:val="24"/>
          <w:szCs w:val="24"/>
          <w:lang w:eastAsia="ru-RU"/>
        </w:rPr>
        <w:t xml:space="preserve"> - </w:t>
      </w:r>
      <w:r w:rsidR="00AF40E2" w:rsidRPr="00AF40E2">
        <w:rPr>
          <w:rFonts w:ascii="Times New Roman" w:hAnsi="Times New Roman" w:cs="Times New Roman"/>
          <w:i/>
          <w:iCs/>
          <w:sz w:val="24"/>
          <w:szCs w:val="24"/>
        </w:rPr>
        <w:t xml:space="preserve">введена Федеральным </w:t>
      </w:r>
      <w:hyperlink r:id="rId8" w:history="1">
        <w:r w:rsidR="00AF40E2" w:rsidRPr="00AF40E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законом</w:t>
        </w:r>
      </w:hyperlink>
      <w:r w:rsidR="00AF40E2" w:rsidRPr="00AF40E2">
        <w:rPr>
          <w:rFonts w:ascii="Times New Roman" w:hAnsi="Times New Roman" w:cs="Times New Roman"/>
          <w:i/>
          <w:iCs/>
          <w:sz w:val="24"/>
          <w:szCs w:val="24"/>
        </w:rPr>
        <w:t xml:space="preserve"> от 01.07.2021 N 241-ФЗ</w:t>
      </w:r>
      <w:r w:rsidR="00AF40E2" w:rsidRPr="00AF40E2">
        <w:rPr>
          <w:rFonts w:ascii="Times New Roman" w:hAnsi="Times New Roman" w:cs="Times New Roman"/>
          <w:sz w:val="24"/>
          <w:szCs w:val="24"/>
        </w:rPr>
        <w:t>)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«Неправомерные действия при банкротстве»</w:t>
      </w:r>
      <w:r w:rsidR="00AF40E2">
        <w:rPr>
          <w:rFonts w:ascii="Times New Roman" w:hAnsi="Times New Roman" w:cs="Times New Roman"/>
          <w:sz w:val="24"/>
          <w:szCs w:val="24"/>
        </w:rPr>
        <w:t>)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В качестве дополнительного наказания — запрет работать управляющим в течение трех лет после освобождения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. </w:t>
      </w:r>
    </w:p>
    <w:p w14:paraId="0BF4C1F5" w14:textId="56230CDC" w:rsidR="00F5451F" w:rsidRDefault="006F5E7A" w:rsidP="00AF4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Норме всего несколько месяцев, судебной практики по ней еще нет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</w:p>
    <w:p w14:paraId="1DBC7F70" w14:textId="021F75BF" w:rsidR="006F5E7A" w:rsidRPr="006F5E7A" w:rsidRDefault="006F5E7A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 менее серьезные нарушения управляющего могут привлечь к гражданско-правовой и административной ответственности.</w:t>
      </w:r>
    </w:p>
    <w:p w14:paraId="6371BC15" w14:textId="77777777" w:rsidR="006F5E7A" w:rsidRPr="006F5E7A" w:rsidRDefault="00AB1F39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9" w:tgtFrame="_blank" w:history="1">
        <w:r w:rsidR="006F5E7A"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По информации Федресурса</w:t>
        </w:r>
      </w:hyperlink>
      <w:r w:rsidR="006F5E7A"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ежегодно удовлетворяется не больше четверти жалоб на управляющих. </w:t>
      </w:r>
    </w:p>
    <w:p w14:paraId="1D496E03" w14:textId="0D6B1E3A" w:rsidR="006F5E7A" w:rsidRPr="006F5E7A" w:rsidRDefault="006F5E7A" w:rsidP="006F5E7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6F5E7A">
        <w:rPr>
          <w:rFonts w:ascii="Roboto" w:eastAsia="Times New Roman" w:hAnsi="Roboto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37DE1018" wp14:editId="2F81461A">
            <wp:extent cx="5940425" cy="35839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30A6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  <w:t>Чуть что — дисквалификация</w:t>
      </w:r>
    </w:p>
    <w:p w14:paraId="689F4984" w14:textId="77777777" w:rsidR="00F5451F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 первое неисполнение обязанностей, установленных в Законе о банкротстве, управляющий отвечает по </w:t>
      </w:r>
      <w:hyperlink r:id="rId11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ч. 3 ст. 14.13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КоАП. </w:t>
      </w:r>
    </w:p>
    <w:p w14:paraId="07113B2F" w14:textId="77777777" w:rsidR="00F5451F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Самое строгое наказание — 50 000 руб. штрафа. </w:t>
      </w:r>
    </w:p>
    <w:p w14:paraId="2C6D15B1" w14:textId="41D442BE" w:rsidR="006F5E7A" w:rsidRPr="006F5E7A" w:rsidRDefault="006F5E7A" w:rsidP="0048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За повторное нарушение начиная с конца 2015 года только одна санкция: дисквалификация как минимум на шесть месяцев, а максимум — на три года (</w:t>
      </w:r>
      <w:hyperlink r:id="rId12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ч. 3.1 ст. 14.13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 Заканчивать текущие банкротные проекты нельзя, управляющего исключают из СРО (</w:t>
      </w:r>
      <w:hyperlink r:id="rId13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п. 3 ст. 20.4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и </w:t>
      </w:r>
      <w:hyperlink r:id="rId14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п. 2 ст. 20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Закона о банкротстве). </w:t>
      </w:r>
    </w:p>
    <w:p w14:paraId="612C08C6" w14:textId="77777777" w:rsidR="006F5E7A" w:rsidRPr="006F5E7A" w:rsidRDefault="006F5E7A" w:rsidP="0048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После исключения из СРО нельзя вступать в новое в течение трех лет. Фактически это нивелирует разницу в «вилке» сроков дисквалификации управляющего. Получается, что любая дисквалификация — это трехлетний запрет на профессию. </w:t>
      </w:r>
    </w:p>
    <w:p w14:paraId="71596EF7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  <w:t>Александра Улезко, руководитель группы по банкротству </w:t>
      </w:r>
      <w:r w:rsidRPr="006F5E7A">
        <w:rPr>
          <w:rFonts w:ascii="Times New Roman" w:eastAsia="Times New Roman" w:hAnsi="Times New Roman" w:cs="Times New Roman"/>
          <w:b/>
          <w:bCs/>
          <w:color w:val="C8C8C8"/>
          <w:sz w:val="24"/>
          <w:szCs w:val="24"/>
          <w:bdr w:val="single" w:sz="6" w:space="0" w:color="DFDFDF" w:frame="1"/>
          <w:lang w:eastAsia="ru-RU"/>
        </w:rPr>
        <w:t>Качкин и Партнеры</w:t>
      </w:r>
    </w:p>
    <w:p w14:paraId="0F02EE2C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Беда в том, что состав ч. 3 и 3.1 ст. 14.13 КоАП формальный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говорит арбитражный управляющий Павел Замалаев. Под них подпадает любое нарушение законодательства о банкротстве вне зависимости от последствий. Бывает, что управляющих привлекают к ответственности за отсутствие подписи внизу каждой страницы реестра кредиторов и за указание сокращенного названия СРО, рассказывает управляющий Сергей Домнин. </w:t>
      </w:r>
    </w:p>
    <w:p w14:paraId="7E77CBF2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Получается, что в первую очередь управляющий должен правильно оформить отчетность и только потом работать с конкурсной массой, добавляет Максим Доценко, председатель экспертного совета Общероссийского профсоюза арбитражных управляющих. По его словам,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Росреестр, который инициирует привлечение управляющих к ответственности, пристально следит за соблюдением формальных требований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Например, чтобы публикации в ЕФРСБ и «Коммерсанте» выходили и оплачивались вовремя. Так, Алексей Кобилов получил предупреждение за то, что не опубликовал одно нужное сообщение в ЕФРСБ, а одно ненужное опубликовал (дело </w:t>
      </w:r>
      <w:hyperlink r:id="rId15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№ А31-534/2021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 Из решения суда следует, что для привлечения к ответственности хватило бы и первого нарушения: того, что Кобилов не сообщил в ЕФРСБ, есть ли у должника признаки фиктивного банкротства. </w:t>
      </w:r>
    </w:p>
    <w:p w14:paraId="7F3B795D" w14:textId="77777777" w:rsidR="006F5E7A" w:rsidRPr="006F5E7A" w:rsidRDefault="006F5E7A" w:rsidP="00F54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 нарушением понимается любое несоблюдение срока публикации сообщения в ЕФРСБ. Даже пропуск на один-два дня. В итоге управляющего могут дисквалифицировать за два нарушения таких сроков, хотя права лиц, участвующих в деле о банкротстве, это не затрагивает. </w:t>
      </w:r>
    </w:p>
    <w:p w14:paraId="053255A1" w14:textId="77777777" w:rsidR="006F5E7A" w:rsidRPr="006F5E7A" w:rsidRDefault="006F5E7A" w:rsidP="00F54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То, что управляющих чаще всего наказывают за недочеты, связанные с публикациями, подтверждает и </w:t>
      </w:r>
      <w:hyperlink r:id="rId16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исследование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single" w:sz="6" w:space="0" w:color="DFDFDF" w:frame="1"/>
          <w:lang w:eastAsia="ru-RU"/>
        </w:rPr>
        <w:t>Арбитраж.ру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.  На втором месте вместе с ошибками по анализу финсостояния должника еще одно «бумажное» нарушение — неправильные отчеты управляющего. </w:t>
      </w:r>
    </w:p>
    <w:p w14:paraId="770BAE4B" w14:textId="6A6708B8" w:rsidR="006F5E7A" w:rsidRPr="006F5E7A" w:rsidRDefault="006F5E7A" w:rsidP="006F5E7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6F5E7A">
        <w:rPr>
          <w:rFonts w:ascii="Roboto" w:eastAsia="Times New Roman" w:hAnsi="Roboto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3895280C" wp14:editId="1D35AB63">
            <wp:extent cx="5940425" cy="2349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64EA" w14:textId="77777777" w:rsidR="006F5E7A" w:rsidRPr="006F5E7A" w:rsidRDefault="006F5E7A" w:rsidP="006F5E7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</w:p>
    <w:p w14:paraId="736E2D9C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lastRenderedPageBreak/>
        <w:t>Иногда участники банкротного спора сами отслеживают нарушения сроков публикаций в ЕФРСБ,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говорит Станислав Петров, руководитель практики банкротства 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single" w:sz="6" w:space="0" w:color="DFDFDF" w:frame="1"/>
          <w:lang w:eastAsia="ru-RU"/>
        </w:rPr>
        <w:t>Инфралекс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. Ведь дисквалификация позволит отстранить неугодного управляющего от работы по делу. </w:t>
      </w:r>
    </w:p>
    <w:p w14:paraId="64D8BA3F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Пожаловаться в Росреестр на управляющего может кто угодно,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 не только участник конкретного банкротного дела. В итоге в ведомство приходят анонимные жалобы, в том числе, подписанные как «от Брежнева и Сталина», рассказывают Доценко и Домнин. А управляющему приходится отбиваться. Это время, а иногда и деньги на юриста. «Если кредиторы находятся под уголовным делом, то жалобы строчат не переставая: пытаются избежать наказания. Три попытки моей дисквалификации — дело рук как раз такого товарища», — вспоминает Доценко.</w:t>
      </w:r>
    </w:p>
    <w:p w14:paraId="696DF766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Штраф и дисквалификация в последнюю пару лет — самые популярные наказания для управляющих.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Если сравнить эти санкции с актуальным количеством арбитражных управляющих — 10 471, </w:t>
      </w:r>
      <w:hyperlink r:id="rId18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по данным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Российского союза СРО арбитражных управляющих, — получится, что штраф назначили 2,2%, а 2,1% дисквалифицировали.</w:t>
      </w:r>
    </w:p>
    <w:p w14:paraId="3AB8EF34" w14:textId="640D1420" w:rsidR="006F5E7A" w:rsidRPr="006F5E7A" w:rsidRDefault="006F5E7A" w:rsidP="006F5E7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6F5E7A">
        <w:rPr>
          <w:rFonts w:ascii="Roboto" w:eastAsia="Times New Roman" w:hAnsi="Roboto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4D2E2189" wp14:editId="5EAB4EC4">
            <wp:extent cx="5940425" cy="2082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6DFD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  <w:t>Как управляющие спасаются от КоАП</w:t>
      </w:r>
    </w:p>
    <w:p w14:paraId="7531636A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Нередко арбитражных управляющих выручает малозначительность, говорит Александр Стешенцев, партнер 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single" w:sz="6" w:space="0" w:color="DFDFDF" w:frame="1"/>
          <w:lang w:eastAsia="ru-RU"/>
        </w:rPr>
        <w:t>Арбитраж.ру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. Когда нет существенной угрозы для банкротных отношений, суд может освободить управляющего от ответственности (</w:t>
      </w:r>
      <w:hyperlink r:id="rId20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ст. 2.9 КоАП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).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За последнюю пару лет по делам о нарушениях, связанных с ЕФРСБ, суды сослались на малозначительность </w:t>
      </w:r>
      <w:hyperlink r:id="rId21" w:tgtFrame="_blank" w:history="1">
        <w:r w:rsidRPr="006F5E7A">
          <w:rPr>
            <w:rFonts w:ascii="Times New Roman" w:eastAsia="Times New Roman" w:hAnsi="Times New Roman" w:cs="Times New Roman"/>
            <w:b/>
            <w:bCs/>
            <w:color w:val="07C3FF"/>
            <w:sz w:val="24"/>
            <w:szCs w:val="24"/>
            <w:lang w:eastAsia="ru-RU"/>
          </w:rPr>
          <w:t>почти в 30% случаев</w:t>
        </w:r>
      </w:hyperlink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.  </w:t>
      </w:r>
    </w:p>
    <w:p w14:paraId="02BFD7EA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Так произошло и в деле Александра Белова (дело </w:t>
      </w:r>
      <w:hyperlink r:id="rId22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№ А40-51981/2021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 Он не опубликовал в ЕФРСБ информацию, что больше не является конкурсным управляющим ООО «Ломбард на Красносельской». Она попала в реестр с шестимесячной задержкой и по инициативе нового управляющего. Росреестр потребовал наказать Белова по ч. 3 ст. 14.1 КоАП. Но </w:t>
      </w:r>
      <w:hyperlink r:id="rId23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АСГМ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отказался привлекать того к ответственности. В заседании, где Белова освободили от обязанностей, присутствовал представитель банкрота. Это значит, что интересы кредиторов не были задеты, решил суд.</w:t>
      </w:r>
    </w:p>
    <w:p w14:paraId="14CAEFF9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Гуляев приводит в пример другую ситуацию.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Когда управляющий получает требования конкурсных кредиторов, он должен опубликовать информацию об этом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Но вся она есть в общедоступной картотеке арбитражных дел. Формально отсутствие публикации в ЕФРСБ — нарушение ст. 14.13 КоАП. Но оно малозначительное, потому что интересы кредиторов не затрагиваются.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Доказать малозначительность — самый действенный способ избежать наказания в этом случае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считает эксперт.</w:t>
      </w:r>
    </w:p>
    <w:p w14:paraId="5E23A82E" w14:textId="24A4F6C8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u w:val="single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 2015–2020 годах управляющих привлекали к ответственности за то, что они в делах о банкротстве граждан не публиковали сообщения об оспаривании сделок должника.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 феврале 2020-го ВС решил, что этого делать не нужно.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6F5E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u w:val="single"/>
          <w:lang w:eastAsia="ru-RU"/>
        </w:rPr>
        <w:t>И Росреестр, который несколько лет выносил протоколы за отсутствие публикации, начал составлять их уже за опубликование этих же сведений.</w:t>
      </w:r>
      <w:r w:rsidR="004013E5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u w:val="single"/>
          <w:lang w:eastAsia="ru-RU"/>
        </w:rPr>
        <w:t>(!!!)</w:t>
      </w:r>
    </w:p>
    <w:p w14:paraId="18F7DDEE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  <w:t>Сергей Домнин, арбитражный управляющий</w:t>
      </w:r>
    </w:p>
    <w:p w14:paraId="7809B88B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Часто управляющих не привлекают к ответственности потому, что Росреестр неправильно составляет протокол, говорит Улезко. Так повезло Виктору Максимцеву. Он нарушил закон о банкротстве не в первый раз. А Росреестр не заметил и применил не ч. 3.1, а ч. 3 ст. 14.13 КоАП. Суд не может сам переквалифицировать деяние, указал </w:t>
      </w:r>
      <w:hyperlink r:id="rId24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4-й ААС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и отказался привлекать управляющего к ответственности. Правда, он разъяснил Росреестру, что тот может составить новый протокол (дело </w:t>
      </w:r>
      <w:hyperlink r:id="rId25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№ А19-12950/2020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 Составлялся ли он, выяснить не удалось.</w:t>
      </w:r>
    </w:p>
    <w:p w14:paraId="27F99878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Если управляющий виноват, при повторном нарушении у суда есть всего два варианта: или дисквалифицировать его, или признавать нарушение малозначительным.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Ведь в ч. 3.1 ст. 14.13 КоАП только один вид наказания. И это проблема, считает Улезко. В ситуациях, когда справедливо было бы назначить штраф, суду придется или освободить нарушителя от ответственности, или назначить ему несоразмерно строгое наказание. </w:t>
      </w:r>
    </w:p>
    <w:p w14:paraId="2D5B03B2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  <w:t>Убытки за счет управляющего</w:t>
      </w:r>
    </w:p>
    <w:p w14:paraId="17A97DD0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Если арбитражный управляющий плохо работает, кредитор может потребовать возмещения убытков (</w:t>
      </w:r>
      <w:hyperlink r:id="rId26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п. 4 ст. 20.4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Закона о банкротстве).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В последние четыре года суды удовлетворяли 30–40% таких требований. </w:t>
      </w:r>
    </w:p>
    <w:p w14:paraId="5C4C463D" w14:textId="008BE3D6" w:rsidR="006F5E7A" w:rsidRPr="006F5E7A" w:rsidRDefault="006F5E7A" w:rsidP="006F5E7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6F5E7A">
        <w:rPr>
          <w:rFonts w:ascii="Roboto" w:eastAsia="Times New Roman" w:hAnsi="Roboto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31C39265" wp14:editId="3A5F5321">
            <wp:extent cx="5940425" cy="3282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7C68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Административная ответственность от возмещения убытков не освобождает, 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напоминает Улезко.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То есть одно и то же нарушение может повлечь для управляющего дисквалификацию и необходимость компенсировать недополученные деньги кредитору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Правда, доказать, что ущерб возник именно из-за действий управляющего, обычно непросто, признает Улезко. Кредиторам важны деньги, </w:t>
      </w: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но гораздо легче добиться штрафа для управляющего или его дисквалификации по КоАП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Нужно доказывать и размер убытков, напоминает Петров. Чаще всего в этом помогают отчет об оценке или заключение специалиста.</w:t>
      </w:r>
    </w:p>
    <w:p w14:paraId="4508EF01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Достаточно распространенное основание для взыскания убытков — пропуск управляющим сроков исковой давности для взыскания дебиторской задолженности и для оспаривания сделок должника.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Поэтому управляющему важно вовремя проанализировать договоры и провести инвентаризацию дебиторской задолженности.</w:t>
      </w:r>
    </w:p>
    <w:p w14:paraId="02C5D3E1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C8C8C8"/>
          <w:sz w:val="24"/>
          <w:szCs w:val="24"/>
          <w:lang w:eastAsia="ru-RU"/>
        </w:rPr>
        <w:t>Павел Замалаев, арбитражный управляющий</w:t>
      </w:r>
    </w:p>
    <w:p w14:paraId="7A5E2265" w14:textId="77777777" w:rsidR="006F5E7A" w:rsidRPr="006F5E7A" w:rsidRDefault="006F5E7A" w:rsidP="006F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Еще одна популярная проблема — нарушение очередности погашения текущих платежей</w:t>
      </w: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В деле </w:t>
      </w:r>
      <w:hyperlink r:id="rId28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№ А57-934/2020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ФНС взыскала 1,4 млн руб. с Юрия Адушкина, конкурсного управляющего Волжского литейного завода. Адушкин тратил деньги на хозяйственную деятельность компании и страховые взносы, а сначала нужно было погасить налоги, решили суды. </w:t>
      </w:r>
    </w:p>
    <w:p w14:paraId="7BB3E880" w14:textId="1C231C26" w:rsidR="000E472E" w:rsidRDefault="006F5E7A" w:rsidP="000E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Обычно обязательная страховка на 10 млн руб. покрывает убытки, </w:t>
      </w:r>
      <w:hyperlink r:id="rId29" w:tgtFrame="_blank" w:history="1">
        <w:r w:rsidRPr="006F5E7A">
          <w:rPr>
            <w:rFonts w:ascii="Times New Roman" w:eastAsia="Times New Roman" w:hAnsi="Times New Roman" w:cs="Times New Roman"/>
            <w:color w:val="07C3FF"/>
            <w:sz w:val="24"/>
            <w:szCs w:val="24"/>
            <w:lang w:eastAsia="ru-RU"/>
          </w:rPr>
          <w:t>говорил в 2019 году Алексей Юхнин</w:t>
        </w:r>
      </w:hyperlink>
      <w:r w:rsidRPr="006F5E7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руководитель Федресурса. Проблема в другом, считает Замалаев. О каждом споре по поводу убытков управляющий должен сообщить в свою страховую. Чем больше таких исков еще рассматривается в суде, тем выше страховая премия, которую нужно заплатить для продления договора. Иногда это больше 1 млн руб., замечает управляющий. </w:t>
      </w:r>
    </w:p>
    <w:p w14:paraId="09FB8F09" w14:textId="057BFB79" w:rsidR="000E472E" w:rsidRDefault="000E472E" w:rsidP="000E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…………………</w:t>
      </w:r>
    </w:p>
    <w:p w14:paraId="47B7033E" w14:textId="77777777" w:rsidR="000E472E" w:rsidRDefault="000E472E" w:rsidP="000E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62698931" w14:textId="586E4A01" w:rsidR="000E472E" w:rsidRDefault="000E472E" w:rsidP="000E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Справочно:             См. письмо ФНС  от</w:t>
      </w:r>
      <w:r w:rsidRPr="00FE4BC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16.04.2021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</w:t>
      </w:r>
      <w:hyperlink r:id="rId30" w:history="1">
        <w:r w:rsidRPr="00240C08">
          <w:rPr>
            <w:rStyle w:val="a4"/>
            <w:rFonts w:ascii="Times New Roman" w:eastAsia="Times New Roman" w:hAnsi="Times New Roman" w:cs="Times New Roman"/>
            <w:sz w:val="17"/>
            <w:szCs w:val="17"/>
            <w:lang w:eastAsia="ru-RU"/>
          </w:rPr>
          <w:t>https://www.nalog.gov.ru/rn27/news/tax_doc_news/10821238/</w:t>
        </w:r>
      </w:hyperlink>
      <w:r>
        <w:rPr>
          <w:rStyle w:val="a4"/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</w:p>
    <w:p w14:paraId="05C0FEF6" w14:textId="637C4DC2" w:rsidR="000E472E" w:rsidRPr="00FE4BC3" w:rsidRDefault="000E472E" w:rsidP="000E472E">
      <w:pPr>
        <w:shd w:val="clear" w:color="auto" w:fill="FFFFFF"/>
        <w:spacing w:after="300" w:line="240" w:lineRule="auto"/>
        <w:ind w:left="2127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FE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01.01.2021 текущая хозяйственная деятельность организаций, признанных банкротами, не является объектом налогообложения НДС.</w:t>
      </w:r>
    </w:p>
    <w:p w14:paraId="5801D4E5" w14:textId="77777777" w:rsidR="000E472E" w:rsidRPr="00FE4BC3" w:rsidRDefault="000E472E" w:rsidP="000E472E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 </w:t>
      </w:r>
      <w:hyperlink r:id="rId31" w:tgtFrame="_blank" w:history="1">
        <w:r w:rsidRPr="00FE4BC3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  <w:lang w:eastAsia="ru-RU"/>
          </w:rPr>
          <w:t>Федеральным законом от 15.10.2020 № 320-ФЗ</w:t>
        </w:r>
      </w:hyperlink>
      <w:r w:rsidRPr="00FE4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proofErr w:type="spellStart"/>
      <w:r w:rsidR="00AB1F39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fldChar w:fldCharType="begin"/>
      </w:r>
      <w:r w:rsidR="00AB1F39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instrText xml:space="preserve"> HYPERLINK "http://nalog.garant.ru/fns/nk/0c5956aa76cdf561e133</w:instrText>
      </w:r>
      <w:r w:rsidR="00AB1F39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instrText xml:space="preserve">3b201c6d337d/" \t "_blank" </w:instrText>
      </w:r>
      <w:r w:rsidR="00AB1F39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fldChar w:fldCharType="separate"/>
      </w:r>
      <w:proofErr w:type="spellEnd"/>
      <w:r w:rsidRPr="00FE4BC3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t>п.п. 15 п. 2 ст. 146 Налогового кодекса Российской Федерации</w:t>
      </w:r>
      <w:r w:rsidR="00AB1F39">
        <w:rPr>
          <w:rFonts w:ascii="Times New Roman" w:eastAsia="Times New Roman" w:hAnsi="Times New Roman" w:cs="Times New Roman"/>
          <w:color w:val="0066B3"/>
          <w:sz w:val="24"/>
          <w:szCs w:val="24"/>
          <w:u w:val="single"/>
          <w:lang w:eastAsia="ru-RU"/>
        </w:rPr>
        <w:fldChar w:fldCharType="end"/>
      </w:r>
      <w:r w:rsidRPr="00FE4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13180" w14:textId="77777777" w:rsidR="000E472E" w:rsidRPr="00FE4BC3" w:rsidRDefault="000E472E" w:rsidP="000E472E">
      <w:pPr>
        <w:shd w:val="clear" w:color="auto" w:fill="FFFFFF"/>
        <w:spacing w:after="30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объектом налогообложения не признаются операции по реализации товаров (работ, услуг) и (или) имущественных прав должников, признанных в законном порядке несостоятельными (банкротами).</w:t>
      </w:r>
    </w:p>
    <w:p w14:paraId="7606373A" w14:textId="723CFFE7" w:rsidR="000E472E" w:rsidRPr="00E00920" w:rsidRDefault="000E472E" w:rsidP="000E472E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D51A39">
        <w:rPr>
          <w:rFonts w:ascii="Times New Roman" w:hAnsi="Times New Roman" w:cs="Times New Roman"/>
        </w:rPr>
        <w:t>Действительно</w:t>
      </w:r>
      <w:r w:rsidR="00AB015B">
        <w:rPr>
          <w:rFonts w:ascii="Times New Roman" w:hAnsi="Times New Roman" w:cs="Times New Roman"/>
        </w:rPr>
        <w:t xml:space="preserve"> - </w:t>
      </w:r>
      <w:r w:rsidRPr="00E00920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 xml:space="preserve"> законодатель освободил банкротов от обязанности уплаты НДС в процессе хозяйственной деятельности после того, как вынесено решение о банкротстве. Вроде бы, позитивное изменение. Но фактически банкротам стало практически невозможно продолжать работу в надежде исправить ситуацию или хотя бы получить средства для текущих платежей. Ведь многие контрагенты, особенно крупные, отказываются покупать без НДС, поэтому банкроту для продолжения хозяйственной деятельности нужно демпинговать, а это невыгодно</w:t>
      </w:r>
      <w:r w:rsidRPr="00E0092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06AE5F6A" w14:textId="3051FE91" w:rsidR="00AB015B" w:rsidRPr="00AB015B" w:rsidRDefault="00273F84" w:rsidP="00AB015B">
      <w:pPr>
        <w:pStyle w:val="a3"/>
        <w:spacing w:before="0" w:beforeAutospacing="0" w:after="0" w:afterAutospacing="0"/>
        <w:ind w:left="2127"/>
        <w:jc w:val="both"/>
        <w:rPr>
          <w:color w:val="0A0A0A"/>
        </w:rPr>
      </w:pPr>
      <w:r>
        <w:rPr>
          <w:color w:val="0A0A0A"/>
        </w:rPr>
        <w:t>С</w:t>
      </w:r>
      <w:r w:rsidR="00AB015B">
        <w:rPr>
          <w:color w:val="0A0A0A"/>
        </w:rPr>
        <w:t>корее всего с</w:t>
      </w:r>
      <w:r w:rsidR="00AB015B" w:rsidRPr="00AB015B">
        <w:rPr>
          <w:i/>
          <w:iCs/>
          <w:color w:val="0A0A0A"/>
        </w:rPr>
        <w:t xml:space="preserve"> учетом возможной разницы позиций в пределах одного округа</w:t>
      </w:r>
      <w:r w:rsidR="00AB015B">
        <w:rPr>
          <w:i/>
          <w:iCs/>
          <w:color w:val="0A0A0A"/>
        </w:rPr>
        <w:t xml:space="preserve"> (уже имеются примеры)</w:t>
      </w:r>
      <w:r w:rsidR="00AB015B" w:rsidRPr="00AB015B">
        <w:rPr>
          <w:i/>
          <w:iCs/>
          <w:color w:val="0A0A0A"/>
        </w:rPr>
        <w:t xml:space="preserve"> и постепенно нарастающим количеством споров</w:t>
      </w:r>
      <w:r w:rsidR="00AB015B" w:rsidRPr="00AB015B">
        <w:rPr>
          <w:color w:val="0A0A0A"/>
        </w:rPr>
        <w:t>, представляется вероятным, что жалобу на эту тему переда</w:t>
      </w:r>
      <w:r>
        <w:rPr>
          <w:color w:val="0A0A0A"/>
        </w:rPr>
        <w:t xml:space="preserve">дут </w:t>
      </w:r>
      <w:r w:rsidR="00AB015B" w:rsidRPr="00AB015B">
        <w:rPr>
          <w:color w:val="0A0A0A"/>
        </w:rPr>
        <w:t xml:space="preserve">для рассмотрения </w:t>
      </w:r>
      <w:r>
        <w:rPr>
          <w:color w:val="0A0A0A"/>
        </w:rPr>
        <w:t xml:space="preserve">в </w:t>
      </w:r>
      <w:r w:rsidR="00AB015B" w:rsidRPr="00AB015B">
        <w:rPr>
          <w:color w:val="0A0A0A"/>
        </w:rPr>
        <w:t>судебн</w:t>
      </w:r>
      <w:r>
        <w:rPr>
          <w:color w:val="0A0A0A"/>
        </w:rPr>
        <w:t>ую</w:t>
      </w:r>
      <w:r w:rsidR="00AB015B" w:rsidRPr="00AB015B">
        <w:rPr>
          <w:color w:val="0A0A0A"/>
        </w:rPr>
        <w:t xml:space="preserve"> коллеги</w:t>
      </w:r>
      <w:r>
        <w:rPr>
          <w:color w:val="0A0A0A"/>
        </w:rPr>
        <w:t>ю</w:t>
      </w:r>
      <w:r w:rsidR="00AB015B" w:rsidRPr="00AB015B">
        <w:rPr>
          <w:color w:val="0A0A0A"/>
        </w:rPr>
        <w:t xml:space="preserve"> по экономическим спорам Верховного суда для формирования единой позиции относительно режима обязательств должника в отношении налога на прибыль, возникающего после реализации активов с торгов. </w:t>
      </w:r>
    </w:p>
    <w:p w14:paraId="70BC6653" w14:textId="6A8F104A" w:rsidR="00AB015B" w:rsidRDefault="00AB015B" w:rsidP="00AB015B">
      <w:pPr>
        <w:pStyle w:val="a3"/>
        <w:spacing w:before="0" w:beforeAutospacing="0" w:after="0" w:afterAutospacing="0"/>
        <w:ind w:left="2268"/>
        <w:jc w:val="both"/>
        <w:rPr>
          <w:color w:val="0A0A0A"/>
        </w:rPr>
      </w:pPr>
    </w:p>
    <w:p w14:paraId="43DB3654" w14:textId="7B8CF713" w:rsidR="000939C4" w:rsidRDefault="000E472E" w:rsidP="000939C4">
      <w:pPr>
        <w:ind w:left="2127"/>
        <w:jc w:val="both"/>
        <w:rPr>
          <w:rFonts w:ascii="Roboto" w:hAnsi="Roboto"/>
          <w:caps/>
        </w:rPr>
      </w:pPr>
      <w:r w:rsidRPr="00AB015B">
        <w:rPr>
          <w:rFonts w:ascii="Times New Roman" w:hAnsi="Times New Roman" w:cs="Times New Roman"/>
          <w:color w:val="0A0A0A"/>
        </w:rPr>
        <w:t xml:space="preserve">При этом остается только надеяться, что Верховный суд учтет особую природу налога на прибыль </w:t>
      </w:r>
      <w:r w:rsidRPr="00AB015B">
        <w:rPr>
          <w:rFonts w:ascii="Times New Roman" w:hAnsi="Times New Roman" w:cs="Times New Roman"/>
          <w:b/>
          <w:bCs/>
          <w:i/>
          <w:iCs/>
          <w:color w:val="0A0A0A"/>
        </w:rPr>
        <w:t>и не сформирует практику, аналогичную вопросам налогообложения по НДС и налогам на имущество должника</w:t>
      </w:r>
      <w:r w:rsidR="000939C4">
        <w:rPr>
          <w:rFonts w:ascii="Roboto" w:hAnsi="Roboto"/>
          <w:color w:val="0A0A0A"/>
        </w:rPr>
        <w:t>….</w:t>
      </w:r>
      <w:r w:rsidR="000939C4" w:rsidRPr="000939C4">
        <w:rPr>
          <w:rFonts w:ascii="Times New Roman" w:hAnsi="Times New Roman" w:cs="Times New Roman"/>
          <w:color w:val="0A0A0A"/>
          <w:sz w:val="24"/>
          <w:szCs w:val="24"/>
        </w:rPr>
        <w:t>когда</w:t>
      </w:r>
      <w:r w:rsidR="000939C4" w:rsidRPr="000939C4">
        <w:rPr>
          <w:rFonts w:ascii="Times New Roman" w:hAnsi="Times New Roman" w:cs="Times New Roman"/>
          <w:color w:val="3B4048"/>
          <w:sz w:val="24"/>
          <w:szCs w:val="24"/>
        </w:rPr>
        <w:t xml:space="preserve"> </w:t>
      </w:r>
      <w:r w:rsidR="00273F84">
        <w:rPr>
          <w:rFonts w:ascii="Times New Roman" w:hAnsi="Times New Roman" w:cs="Times New Roman"/>
          <w:color w:val="3B4048"/>
          <w:sz w:val="24"/>
          <w:szCs w:val="24"/>
        </w:rPr>
        <w:t>«</w:t>
      </w:r>
      <w:r w:rsidR="000939C4" w:rsidRPr="000939C4">
        <w:rPr>
          <w:rFonts w:ascii="Times New Roman" w:hAnsi="Times New Roman" w:cs="Times New Roman"/>
          <w:color w:val="3B4048"/>
          <w:sz w:val="24"/>
          <w:szCs w:val="24"/>
        </w:rPr>
        <w:t>налоги сначала, кредиторы потом</w:t>
      </w:r>
      <w:r w:rsidR="000939C4">
        <w:rPr>
          <w:color w:val="3B4048"/>
        </w:rPr>
        <w:t>..</w:t>
      </w:r>
      <w:r w:rsidR="00273F84">
        <w:rPr>
          <w:color w:val="3B4048"/>
        </w:rPr>
        <w:t>»</w:t>
      </w:r>
      <w:r w:rsidR="000939C4">
        <w:rPr>
          <w:color w:val="3B4048"/>
        </w:rPr>
        <w:t xml:space="preserve"> (см. статью от 01.10.21г в </w:t>
      </w:r>
      <w:hyperlink r:id="rId32" w:history="1">
        <w:r w:rsidR="000939C4" w:rsidRPr="005D3200">
          <w:rPr>
            <w:rStyle w:val="a4"/>
            <w:rFonts w:ascii="Roboto" w:hAnsi="Roboto"/>
            <w:caps/>
          </w:rPr>
          <w:t>https://pravo.ru/opinion/235276/</w:t>
        </w:r>
      </w:hyperlink>
      <w:r w:rsidR="000939C4">
        <w:rPr>
          <w:rStyle w:val="a4"/>
          <w:rFonts w:ascii="Roboto" w:hAnsi="Roboto"/>
          <w:caps/>
        </w:rPr>
        <w:t>)</w:t>
      </w:r>
    </w:p>
    <w:p w14:paraId="411D600C" w14:textId="4BC01FBD" w:rsidR="000E472E" w:rsidRPr="000939C4" w:rsidRDefault="000E472E" w:rsidP="00AB015B">
      <w:pPr>
        <w:pStyle w:val="a3"/>
        <w:spacing w:before="0" w:beforeAutospacing="0" w:after="0" w:afterAutospacing="0"/>
        <w:ind w:left="2127"/>
        <w:jc w:val="both"/>
        <w:rPr>
          <w:color w:val="0A0A0A"/>
        </w:rPr>
      </w:pPr>
    </w:p>
    <w:p w14:paraId="69175DD4" w14:textId="6781A7ED" w:rsidR="000E472E" w:rsidRPr="000939C4" w:rsidRDefault="000E472E" w:rsidP="00AB015B">
      <w:pPr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sectPr w:rsidR="000E472E" w:rsidRPr="000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A27"/>
    <w:multiLevelType w:val="multilevel"/>
    <w:tmpl w:val="AC8C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9727E"/>
    <w:multiLevelType w:val="multilevel"/>
    <w:tmpl w:val="3AB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A"/>
    <w:rsid w:val="000939C4"/>
    <w:rsid w:val="000E472E"/>
    <w:rsid w:val="00273F84"/>
    <w:rsid w:val="004013E5"/>
    <w:rsid w:val="00486FA5"/>
    <w:rsid w:val="0060363D"/>
    <w:rsid w:val="006F5E7A"/>
    <w:rsid w:val="007F6185"/>
    <w:rsid w:val="00AB015B"/>
    <w:rsid w:val="00AB1F39"/>
    <w:rsid w:val="00AF40E2"/>
    <w:rsid w:val="00D51A39"/>
    <w:rsid w:val="00F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D489"/>
  <w15:chartTrackingRefBased/>
  <w15:docId w15:val="{0EDD78A5-2A94-4D9D-9EF1-606918B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5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5E7A"/>
    <w:rPr>
      <w:color w:val="0000FF"/>
      <w:u w:val="single"/>
    </w:rPr>
  </w:style>
  <w:style w:type="paragraph" w:customStyle="1" w:styleId="author">
    <w:name w:val="author"/>
    <w:basedOn w:val="a"/>
    <w:rsid w:val="006F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popuptrigger">
    <w:name w:val="rating_popup_trigger"/>
    <w:basedOn w:val="a0"/>
    <w:rsid w:val="006F5E7A"/>
  </w:style>
  <w:style w:type="character" w:customStyle="1" w:styleId="UnresolvedMention">
    <w:name w:val="Unresolved Mention"/>
    <w:basedOn w:val="a0"/>
    <w:uiPriority w:val="99"/>
    <w:semiHidden/>
    <w:unhideWhenUsed/>
    <w:rsid w:val="0009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018C12DD59AB9696DED5020380807F9C87A6F52818EB681E125253F1490ADB3A629F7B0909807C4C692958FD2EBB98DB749829FFA36C0i8CDM" TargetMode="External"/><Relationship Id="rId13" Type="http://schemas.openxmlformats.org/officeDocument/2006/relationships/hyperlink" Target="http://www.consultant.ru/document/cons_doc_LAW_39331/c2679c9d036ec60ca763f5c35d3c2b379e36c0bd/" TargetMode="External"/><Relationship Id="rId18" Type="http://schemas.openxmlformats.org/officeDocument/2006/relationships/hyperlink" Target="http://rssoau.ru/page/5" TargetMode="External"/><Relationship Id="rId26" Type="http://schemas.openxmlformats.org/officeDocument/2006/relationships/hyperlink" Target="http://www.consultant.ru/document/cons_doc_LAW_39331/c2679c9d036ec60ca763f5c35d3c2b379e36c0b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bitrageru.legal/data/uploads/2021/05/1413_koap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10699/010ad231c9b7c54dac647b7925e56563fa5ca98d/" TargetMode="External"/><Relationship Id="rId12" Type="http://schemas.openxmlformats.org/officeDocument/2006/relationships/hyperlink" Target="http://www.consultant.ru/document/cons_doc_LAW_34661/cd9e7b3faed04ce5a1863ac280a28ee438df0280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kad.arbitr.ru/Card/2f9f8b85-c242-41cb-b531-7da2c1dc3a6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bitrageru.legal/data/uploads/2021/05/1413_koap.pdf" TargetMode="External"/><Relationship Id="rId20" Type="http://schemas.openxmlformats.org/officeDocument/2006/relationships/hyperlink" Target="http://www.consultant.ru/document/cons_doc_LAW_34661/150796024f8c6369ca255f00a77ea433ef045cc5/" TargetMode="External"/><Relationship Id="rId29" Type="http://schemas.openxmlformats.org/officeDocument/2006/relationships/hyperlink" Target="https://fedresurs.ru/news/3feb845a-80f6-4747-baa4-139f12f2de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cd90f24eaa3d1201d7ffab21611960503f756123/" TargetMode="External"/><Relationship Id="rId11" Type="http://schemas.openxmlformats.org/officeDocument/2006/relationships/hyperlink" Target="http://www.consultant.ru/document/cons_doc_LAW_34661/cd9e7b3faed04ce5a1863ac280a28ee438df0280/" TargetMode="External"/><Relationship Id="rId24" Type="http://schemas.openxmlformats.org/officeDocument/2006/relationships/hyperlink" Target="https://pravo.ru/arbitr_practice/courts/15/" TargetMode="External"/><Relationship Id="rId32" Type="http://schemas.openxmlformats.org/officeDocument/2006/relationships/hyperlink" Target="https://pravo.ru/opinion/235276/" TargetMode="External"/><Relationship Id="rId5" Type="http://schemas.openxmlformats.org/officeDocument/2006/relationships/hyperlink" Target="https://pravo.ru/authors/151/" TargetMode="External"/><Relationship Id="rId15" Type="http://schemas.openxmlformats.org/officeDocument/2006/relationships/hyperlink" Target="https://kad.arbitr.ru/Card/856875c3-2912-45e7-b972-fbc62c946a2d" TargetMode="External"/><Relationship Id="rId23" Type="http://schemas.openxmlformats.org/officeDocument/2006/relationships/hyperlink" Target="https://pravo.ru/arbitr_practice/courts/32/" TargetMode="External"/><Relationship Id="rId28" Type="http://schemas.openxmlformats.org/officeDocument/2006/relationships/hyperlink" Target="https://kad.arbitr.ru/Card/7707c1fa-d0a9-4a9f-8009-43d6fc9c545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hyperlink" Target="http://www.consultant.ru/document/cons_doc_LAW_365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.fedresurs.ru/news/%D0%A1%D1%82%D0%B0%D1%82%D0%B8%D1%81%D1%82%D0%B8%D1%87%D0%B5%D1%81%D0%BA%D0%B8%D0%B9%20%D0%B1%D1%8E%D0%BB%D0%BB%D0%B5%D1%82%D0%B5%D0%BD%D1%8C%20%D0%95%D0%A4%D0%A0%D0%A1%D0%91%2030%20%D0%B8%D1%8E%D0%BD%D1%8F%202021.pdf" TargetMode="External"/><Relationship Id="rId14" Type="http://schemas.openxmlformats.org/officeDocument/2006/relationships/hyperlink" Target="http://www.consultant.ru/document/cons_doc_LAW_39331/0cf2ebf26570dcd2be1163a4dbf397ac46b773b3/" TargetMode="External"/><Relationship Id="rId22" Type="http://schemas.openxmlformats.org/officeDocument/2006/relationships/hyperlink" Target="https://kad.arbitr.ru/Card/903606ca-d886-416c-86d3-ac1e02737823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nalog.gov.ru/rn27/news/tax_doc_news/10821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Бажан</dc:creator>
  <cp:keywords/>
  <dc:description/>
  <cp:lastModifiedBy>User1</cp:lastModifiedBy>
  <cp:revision>6</cp:revision>
  <dcterms:created xsi:type="dcterms:W3CDTF">2021-10-05T08:53:00Z</dcterms:created>
  <dcterms:modified xsi:type="dcterms:W3CDTF">2021-10-05T13:02:00Z</dcterms:modified>
</cp:coreProperties>
</file>